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777777"/>
          <w:sz w:val="32"/>
          <w:szCs w:val="32"/>
        </w:rPr>
      </w:pPr>
      <w:r>
        <w:rPr>
          <w:rFonts w:ascii="Times New Roman" w:hAnsi="Arial" w:eastAsia="黑体" w:cs="Times New Roman"/>
          <w:b/>
          <w:bCs/>
          <w:sz w:val="32"/>
          <w:szCs w:val="32"/>
        </w:rPr>
        <w:t>附件二：封面和封底</w:t>
      </w:r>
    </w:p>
    <w:p>
      <w:pPr>
        <w:tabs>
          <w:tab w:val="left" w:pos="3460"/>
        </w:tabs>
        <w:rPr>
          <w:rFonts w:ascii="Times New Roman" w:hAnsi="Times New Roman" w:cs="Times New Roman"/>
          <w:color w:val="777777"/>
          <w:sz w:val="36"/>
          <w:szCs w:val="36"/>
        </w:rPr>
      </w:pPr>
      <w:r>
        <w:rPr>
          <w:rFonts w:ascii="Times New Roman" w:hAnsi="Times New Roman" w:cs="Times New Roman"/>
          <w:color w:val="777777"/>
          <w:sz w:val="36"/>
          <w:szCs w:val="36"/>
        </w:rPr>
        <w:tab/>
      </w:r>
    </w:p>
    <w:p>
      <w:pPr>
        <w:tabs>
          <w:tab w:val="left" w:pos="3460"/>
        </w:tabs>
        <w:rPr>
          <w:rFonts w:ascii="Times New Roman" w:hAnsi="Times New Roman" w:cs="Times New Roman"/>
          <w:color w:val="777777"/>
          <w:sz w:val="36"/>
          <w:szCs w:val="36"/>
        </w:rPr>
      </w:pPr>
    </w:p>
    <w:p>
      <w:pPr>
        <w:tabs>
          <w:tab w:val="left" w:pos="3460"/>
        </w:tabs>
        <w:rPr>
          <w:rFonts w:ascii="Times New Roman" w:hAnsi="Times New Roman" w:cs="Times New Roman"/>
          <w:color w:val="777777"/>
          <w:sz w:val="36"/>
          <w:szCs w:val="36"/>
        </w:rPr>
      </w:pPr>
    </w:p>
    <w:p>
      <w:pPr>
        <w:tabs>
          <w:tab w:val="left" w:pos="3460"/>
        </w:tabs>
        <w:rPr>
          <w:rFonts w:ascii="Times New Roman" w:hAnsi="Times New Roman" w:cs="Times New Roman"/>
          <w:color w:val="777777"/>
          <w:sz w:val="36"/>
          <w:szCs w:val="36"/>
        </w:rPr>
      </w:pPr>
    </w:p>
    <w:p>
      <w:pPr>
        <w:rPr>
          <w:rFonts w:ascii="Times New Roman" w:hAnsi="Times New Roman" w:cs="Times New Roman"/>
          <w:color w:val="777777"/>
          <w:sz w:val="36"/>
          <w:szCs w:val="36"/>
        </w:rPr>
      </w:pPr>
      <w:r>
        <w:rPr>
          <w:rFonts w:ascii="Times New Roman" w:hAnsi="Times New Roman" w:cs="Times New Roman"/>
          <w:color w:val="777777"/>
          <w:sz w:val="36"/>
          <w:szCs w:val="36"/>
        </w:rPr>
        <w:drawing>
          <wp:inline distT="0" distB="0" distL="0" distR="0">
            <wp:extent cx="3990340" cy="859790"/>
            <wp:effectExtent l="0" t="0" r="10160" b="16510"/>
            <wp:docPr id="13" name="Picture 13" descr="Macintosh HD:Users:ALS:Desktop: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intosh HD:Users:ALS:Desktop:CFA_institute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990767" cy="860047"/>
                    </a:xfrm>
                    <a:prstGeom prst="rect">
                      <a:avLst/>
                    </a:prstGeom>
                    <a:noFill/>
                    <a:ln>
                      <a:noFill/>
                    </a:ln>
                  </pic:spPr>
                </pic:pic>
              </a:graphicData>
            </a:graphic>
          </wp:inline>
        </w:drawing>
      </w:r>
    </w:p>
    <w:p>
      <w:pPr>
        <w:rPr>
          <w:rFonts w:ascii="Times New Roman" w:hAnsi="Times New Roman" w:cs="Times New Roman"/>
          <w:color w:val="777777"/>
          <w:sz w:val="36"/>
          <w:szCs w:val="36"/>
        </w:rPr>
      </w:pPr>
      <w:r>
        <w:rPr>
          <w:rFonts w:ascii="Times New Roman" w:hAnsi="Times New Roman" w:cs="Times New Roman"/>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219075</wp:posOffset>
                </wp:positionV>
                <wp:extent cx="6858000" cy="0"/>
                <wp:effectExtent l="33655" t="26670" r="42545" b="68580"/>
                <wp:wrapNone/>
                <wp:docPr id="3"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5B77CC"/>
                          </a:solidFill>
                          <a:round/>
                        </a:ln>
                        <a:effectLst>
                          <a:outerShdw blurRad="40000" dist="20000" dir="5400000" rotWithShape="0">
                            <a:srgbClr val="000000">
                              <a:alpha val="37999"/>
                            </a:srgbClr>
                          </a:outerShdw>
                        </a:effectLst>
                      </wps:spPr>
                      <wps:bodyPr/>
                    </wps:wsp>
                  </a:graphicData>
                </a:graphic>
              </wp:anchor>
            </w:drawing>
          </mc:Choice>
          <mc:Fallback>
            <w:pict>
              <v:line id="Straight Connector 2" o:spid="_x0000_s1026" o:spt="20" style="position:absolute;left:0pt;margin-top:17.25pt;height:0pt;width:540pt;mso-position-horizontal:center;mso-position-horizontal-relative:margin;z-index:251659264;mso-width-relative:page;mso-height-relative:page;" filled="f" stroked="t" coordsize="21600,21600" o:gfxdata="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PvZHdUAAAAH&#10;AQAADwAAAAAAAAABACAAAAAiAAAAZHJzL2Rvd25yZXYueG1sUEsBAhQAFAAAAAgAh07iQAlhDLAf&#10;AgAAWgQAAA4AAAAAAAAAAQAgAAAAJAEAAGRycy9lMm9Eb2MueG1sUEsFBgAAAAAGAAYAWQEAALUF&#10;AAAAAA==&#10;">
                <v:fill on="f" focussize="0,0"/>
                <v:stroke weight="2pt" color="#5B77CC" joinstyle="round"/>
                <v:imagedata o:title=""/>
                <o:lock v:ext="edit" aspectratio="f"/>
                <v:shadow on="t" color="#000000" opacity="24903f" offset="0pt,1.5748031496063pt" origin="0f,32768f" matrix="65536f,0f,0f,65536f"/>
              </v:line>
            </w:pict>
          </mc:Fallback>
        </mc:AlternateContent>
      </w:r>
    </w:p>
    <w:p>
      <w:pPr>
        <w:pStyle w:val="3"/>
        <w:jc w:val="both"/>
        <w:rPr>
          <w:rFonts w:ascii="Times New Roman" w:hAnsi="Times New Roman" w:cs="Times New Roman"/>
          <w:b/>
          <w:color w:val="777777"/>
          <w:sz w:val="40"/>
          <w:szCs w:val="40"/>
        </w:rPr>
      </w:pPr>
    </w:p>
    <w:p>
      <w:pPr>
        <w:pStyle w:val="3"/>
        <w:jc w:val="both"/>
        <w:rPr>
          <w:rFonts w:ascii="Times New Roman" w:hAnsi="Times New Roman" w:cs="Times New Roman"/>
          <w:b/>
          <w:color w:val="777777"/>
          <w:sz w:val="40"/>
          <w:szCs w:val="40"/>
        </w:rPr>
      </w:pPr>
      <w:r>
        <w:rPr>
          <w:rFonts w:ascii="Times New Roman" w:hAnsi="Times New Roman" w:cs="Times New Roman"/>
          <w:b/>
          <w:color w:val="777777"/>
          <w:sz w:val="40"/>
          <w:szCs w:val="40"/>
        </w:rPr>
        <w:t>CFA Institute Research Challenge</w:t>
      </w:r>
    </w:p>
    <w:p>
      <w:pPr>
        <w:pStyle w:val="3"/>
        <w:jc w:val="both"/>
        <w:rPr>
          <w:rFonts w:ascii="Times New Roman" w:hAnsi="Times New Roman" w:cs="Times New Roman"/>
          <w:b/>
          <w:color w:val="777777"/>
          <w:sz w:val="28"/>
          <w:szCs w:val="28"/>
        </w:rPr>
      </w:pPr>
      <w:r>
        <w:rPr>
          <w:rFonts w:ascii="Times New Roman" w:hAnsi="Times New Roman" w:cs="Times New Roman"/>
          <w:b/>
          <w:color w:val="777777"/>
          <w:sz w:val="28"/>
          <w:szCs w:val="28"/>
        </w:rPr>
        <w:t>Hosted in</w:t>
      </w:r>
    </w:p>
    <w:p>
      <w:pPr>
        <w:pStyle w:val="3"/>
        <w:jc w:val="both"/>
        <w:rPr>
          <w:rFonts w:ascii="Times New Roman" w:hAnsi="Times New Roman" w:cs="Times New Roman"/>
          <w:b/>
          <w:color w:val="777777"/>
          <w:sz w:val="32"/>
          <w:szCs w:val="32"/>
        </w:rPr>
      </w:pPr>
      <w:r>
        <w:rPr>
          <w:rFonts w:ascii="Times New Roman" w:hAnsi="Times New Roman" w:cs="Times New Roman"/>
          <w:b/>
          <w:color w:val="777777"/>
          <w:sz w:val="32"/>
          <w:szCs w:val="32"/>
        </w:rPr>
        <w:t>Local Challenge CFA Society of China</w:t>
      </w:r>
    </w:p>
    <w:p>
      <w:pPr>
        <w:pStyle w:val="3"/>
        <w:jc w:val="both"/>
        <w:rPr>
          <w:rFonts w:ascii="Times New Roman" w:hAnsi="Times New Roman" w:cs="Times New Roman"/>
          <w:b/>
          <w:color w:val="777777"/>
          <w:sz w:val="32"/>
          <w:szCs w:val="32"/>
        </w:rPr>
      </w:pPr>
      <w:r>
        <w:rPr>
          <w:rFonts w:ascii="Times New Roman" w:hAnsi="Times New Roman" w:cs="Times New Roman"/>
          <w:b/>
          <w:color w:val="777777"/>
          <w:sz w:val="32"/>
          <w:szCs w:val="32"/>
        </w:rPr>
        <w:t>China Foreign Affairs University</w:t>
      </w:r>
    </w:p>
    <w:p>
      <w:pPr>
        <w:pStyle w:val="3"/>
        <w:jc w:val="both"/>
        <w:rPr>
          <w:rFonts w:ascii="Times New Roman" w:hAnsi="Times New Roman" w:cs="Times New Roman"/>
          <w:b/>
          <w:color w:val="777777"/>
          <w:sz w:val="32"/>
          <w:szCs w:val="32"/>
        </w:rPr>
      </w:pPr>
    </w:p>
    <w:p>
      <w:pPr>
        <w:rPr>
          <w:rFonts w:ascii="Times New Roman" w:hAnsi="Times New Roman" w:cs="Times New Roman"/>
        </w:rPr>
      </w:pPr>
      <w:bookmarkStart w:id="0" w:name="_GoBack"/>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margin">
                  <wp:posOffset>-789940</wp:posOffset>
                </wp:positionH>
                <wp:positionV relativeFrom="paragraph">
                  <wp:posOffset>-1270</wp:posOffset>
                </wp:positionV>
                <wp:extent cx="6858000" cy="0"/>
                <wp:effectExtent l="33655" t="26670" r="42545" b="68580"/>
                <wp:wrapNone/>
                <wp:docPr id="1"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5B77CC"/>
                          </a:solidFill>
                          <a:round/>
                        </a:ln>
                        <a:effectLst>
                          <a:outerShdw blurRad="40000" dist="20000" dir="5400000" rotWithShape="0">
                            <a:srgbClr val="000000">
                              <a:alpha val="37999"/>
                            </a:srgbClr>
                          </a:outerShdw>
                        </a:effectLst>
                      </wps:spPr>
                      <wps:bodyPr/>
                    </wps:wsp>
                  </a:graphicData>
                </a:graphic>
              </wp:anchor>
            </w:drawing>
          </mc:Choice>
          <mc:Fallback>
            <w:pict>
              <v:line id="Straight Connector 3" o:spid="_x0000_s1026" o:spt="20" style="position:absolute;left:0pt;margin-left:-62.2pt;margin-top:-0.1pt;height:0pt;width:540pt;mso-position-horizontal-relative:margin;z-index:251660288;mso-width-relative:page;mso-height-relative:page;" filled="f" stroked="t" coordsize="21600,21600" o:gfxdata="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rzZv1wAA&#10;AAgBAAAPAAAAAAAAAAEAIAAAACIAAABkcnMvZG93bnJldi54bWxQSwECFAAUAAAACACHTuJAYQcv&#10;qR8CAABaBAAADgAAAAAAAAABACAAAAAmAQAAZHJzL2Uyb0RvYy54bWxQSwUGAAAAAAYABgBZAQAA&#10;twUAAAAA&#10;">
                <v:fill on="f" focussize="0,0"/>
                <v:stroke weight="2pt" color="#5B77CC" joinstyle="round"/>
                <v:imagedata o:title=""/>
                <o:lock v:ext="edit" aspectratio="f"/>
                <v:shadow on="t" color="#000000" opacity="24903f" offset="0pt,1.5748031496063pt" origin="0f,32768f" matrix="65536f,0f,0f,65536f"/>
              </v:line>
            </w:pict>
          </mc:Fallback>
        </mc:AlternateContent>
      </w:r>
      <w:bookmarkEnd w:id="0"/>
    </w:p>
    <w:p>
      <w:pPr>
        <w:tabs>
          <w:tab w:val="left" w:pos="2655"/>
        </w:tabs>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tabs>
          <w:tab w:val="left" w:pos="2655"/>
        </w:tabs>
        <w:rPr>
          <w:rFonts w:ascii="Times New Roman" w:hAnsi="Times New Roman" w:cs="Times New Roman"/>
        </w:rPr>
        <w:sectPr>
          <w:pgSz w:w="11906" w:h="16838"/>
          <w:pgMar w:top="1418" w:right="1644" w:bottom="1191" w:left="1701" w:header="851" w:footer="992" w:gutter="0"/>
          <w:cols w:space="425" w:num="1"/>
          <w:docGrid w:type="lines" w:linePitch="312" w:charSpace="0"/>
        </w:sectPr>
      </w:pPr>
    </w:p>
    <w:p>
      <w:pPr>
        <w:tabs>
          <w:tab w:val="left" w:pos="2655"/>
        </w:tabs>
        <w:rPr>
          <w:rFonts w:ascii="Times New Roman" w:hAnsi="Times New Roman" w:cs="Times New Roman"/>
        </w:rPr>
      </w:pPr>
    </w:p>
    <w:p>
      <w:pPr>
        <w:tabs>
          <w:tab w:val="left" w:pos="2655"/>
        </w:tabs>
        <w:rPr>
          <w:rFonts w:ascii="Times New Roman" w:hAnsi="Times New Roman" w:cs="Times New Roman"/>
        </w:rPr>
      </w:pPr>
    </w:p>
    <w:p>
      <w:pPr>
        <w:tabs>
          <w:tab w:val="left" w:pos="2655"/>
        </w:tabs>
        <w:rPr>
          <w:rFonts w:ascii="Times New Roman" w:hAnsi="Times New Roman" w:cs="Times New Roman"/>
        </w:rPr>
      </w:pPr>
    </w:p>
    <w:p>
      <w:pPr>
        <w:tabs>
          <w:tab w:val="left" w:pos="2655"/>
        </w:tabs>
        <w:rPr>
          <w:rFonts w:ascii="Times New Roman" w:hAnsi="Times New Roman" w:cs="Times New Roman"/>
        </w:rPr>
      </w:pPr>
    </w:p>
    <w:p>
      <w:pPr>
        <w:tabs>
          <w:tab w:val="left" w:pos="2655"/>
        </w:tabs>
        <w:rPr>
          <w:rFonts w:ascii="Times New Roman" w:hAnsi="Times New Roman" w:cs="Times New Roman"/>
        </w:rPr>
      </w:pPr>
    </w:p>
    <w:p>
      <w:pPr>
        <w:autoSpaceDE w:val="0"/>
        <w:autoSpaceDN w:val="0"/>
        <w:adjustRightInd w:val="0"/>
        <w:snapToGrid w:val="0"/>
        <w:rPr>
          <w:rFonts w:cs="Arial"/>
          <w:b/>
          <w:bCs/>
          <w:sz w:val="28"/>
          <w:szCs w:val="28"/>
        </w:rPr>
      </w:pPr>
      <w:r>
        <w:rPr>
          <w:rFonts w:cs="Arial"/>
          <w:b/>
          <w:bCs/>
          <w:sz w:val="28"/>
          <w:szCs w:val="28"/>
        </w:rPr>
        <w:t>Disclosures:</w:t>
      </w:r>
    </w:p>
    <w:p>
      <w:pPr>
        <w:autoSpaceDE w:val="0"/>
        <w:autoSpaceDN w:val="0"/>
        <w:adjustRightInd w:val="0"/>
        <w:snapToGrid w:val="0"/>
        <w:rPr>
          <w:rFonts w:cs="Arial"/>
          <w:b/>
          <w:bCs/>
          <w:sz w:val="18"/>
          <w:szCs w:val="18"/>
        </w:rPr>
      </w:pPr>
      <w:r>
        <w:rPr>
          <w:rFonts w:cs="Arial"/>
          <w:b/>
          <w:bCs/>
          <w:sz w:val="18"/>
          <w:szCs w:val="18"/>
        </w:rPr>
        <w:t>Ownership and material conflicts of interest:</w:t>
      </w:r>
    </w:p>
    <w:p>
      <w:pPr>
        <w:autoSpaceDE w:val="0"/>
        <w:autoSpaceDN w:val="0"/>
        <w:adjustRightInd w:val="0"/>
        <w:snapToGrid w:val="0"/>
        <w:rPr>
          <w:rFonts w:cs="Arial"/>
          <w:sz w:val="18"/>
          <w:szCs w:val="18"/>
        </w:rPr>
      </w:pPr>
      <w:r>
        <w:rPr>
          <w:rFonts w:cs="Arial"/>
          <w:sz w:val="18"/>
          <w:szCs w:val="18"/>
        </w:rPr>
        <w:t>The author(s), or a member of their household, of this report does not hold a financial interest in the securities of this company.</w:t>
      </w:r>
    </w:p>
    <w:p>
      <w:pPr>
        <w:autoSpaceDE w:val="0"/>
        <w:autoSpaceDN w:val="0"/>
        <w:adjustRightInd w:val="0"/>
        <w:snapToGrid w:val="0"/>
        <w:rPr>
          <w:rFonts w:cs="Arial"/>
          <w:sz w:val="18"/>
          <w:szCs w:val="18"/>
        </w:rPr>
      </w:pPr>
      <w:r>
        <w:rPr>
          <w:rFonts w:cs="Arial"/>
          <w:sz w:val="18"/>
          <w:szCs w:val="18"/>
        </w:rPr>
        <w:t>The author(s), or a member of their household, of this report does not know of the existence of any conflicts of interest that might bias</w:t>
      </w:r>
    </w:p>
    <w:p>
      <w:pPr>
        <w:autoSpaceDE w:val="0"/>
        <w:autoSpaceDN w:val="0"/>
        <w:adjustRightInd w:val="0"/>
        <w:snapToGrid w:val="0"/>
        <w:rPr>
          <w:rFonts w:cs="Arial"/>
          <w:sz w:val="18"/>
          <w:szCs w:val="18"/>
        </w:rPr>
      </w:pPr>
      <w:r>
        <w:rPr>
          <w:rFonts w:cs="Arial"/>
          <w:sz w:val="18"/>
          <w:szCs w:val="18"/>
        </w:rPr>
        <w:t>the content or publication of this report.</w:t>
      </w:r>
    </w:p>
    <w:p>
      <w:pPr>
        <w:autoSpaceDE w:val="0"/>
        <w:autoSpaceDN w:val="0"/>
        <w:adjustRightInd w:val="0"/>
        <w:snapToGrid w:val="0"/>
        <w:rPr>
          <w:rFonts w:cs="Arial"/>
          <w:b/>
          <w:bCs/>
          <w:sz w:val="18"/>
          <w:szCs w:val="18"/>
        </w:rPr>
      </w:pPr>
      <w:r>
        <w:rPr>
          <w:rFonts w:cs="Arial"/>
          <w:b/>
          <w:bCs/>
          <w:sz w:val="18"/>
          <w:szCs w:val="18"/>
        </w:rPr>
        <w:t>Receipt of compensation:</w:t>
      </w:r>
    </w:p>
    <w:p>
      <w:pPr>
        <w:autoSpaceDE w:val="0"/>
        <w:autoSpaceDN w:val="0"/>
        <w:adjustRightInd w:val="0"/>
        <w:snapToGrid w:val="0"/>
        <w:rPr>
          <w:rFonts w:cs="Arial"/>
          <w:sz w:val="18"/>
          <w:szCs w:val="18"/>
        </w:rPr>
      </w:pPr>
      <w:r>
        <w:rPr>
          <w:rFonts w:cs="Arial"/>
          <w:sz w:val="18"/>
          <w:szCs w:val="18"/>
        </w:rPr>
        <w:t>Compensation of the author(s) of this report is not based on investment banking revenue.</w:t>
      </w:r>
    </w:p>
    <w:p>
      <w:pPr>
        <w:autoSpaceDE w:val="0"/>
        <w:autoSpaceDN w:val="0"/>
        <w:adjustRightInd w:val="0"/>
        <w:snapToGrid w:val="0"/>
        <w:rPr>
          <w:rFonts w:cs="Arial"/>
          <w:b/>
          <w:bCs/>
          <w:sz w:val="18"/>
          <w:szCs w:val="18"/>
        </w:rPr>
      </w:pPr>
      <w:r>
        <w:rPr>
          <w:rFonts w:cs="Arial"/>
          <w:b/>
          <w:bCs/>
          <w:sz w:val="18"/>
          <w:szCs w:val="18"/>
        </w:rPr>
        <w:t>Position as a officer or director:</w:t>
      </w:r>
    </w:p>
    <w:p>
      <w:pPr>
        <w:autoSpaceDE w:val="0"/>
        <w:autoSpaceDN w:val="0"/>
        <w:adjustRightInd w:val="0"/>
        <w:snapToGrid w:val="0"/>
        <w:rPr>
          <w:rFonts w:cs="Arial"/>
          <w:sz w:val="18"/>
          <w:szCs w:val="18"/>
        </w:rPr>
      </w:pPr>
      <w:r>
        <w:rPr>
          <w:rFonts w:cs="Arial"/>
          <w:sz w:val="18"/>
          <w:szCs w:val="18"/>
        </w:rPr>
        <w:t>The author(s), or a member of their household, does not serve as an officer, director or advisory board member of the subject</w:t>
      </w:r>
    </w:p>
    <w:p>
      <w:pPr>
        <w:autoSpaceDE w:val="0"/>
        <w:autoSpaceDN w:val="0"/>
        <w:adjustRightInd w:val="0"/>
        <w:snapToGrid w:val="0"/>
        <w:rPr>
          <w:rFonts w:cs="Arial"/>
          <w:sz w:val="18"/>
          <w:szCs w:val="18"/>
        </w:rPr>
      </w:pPr>
      <w:r>
        <w:rPr>
          <w:rFonts w:cs="Arial"/>
          <w:sz w:val="18"/>
          <w:szCs w:val="18"/>
        </w:rPr>
        <w:t>company.</w:t>
      </w:r>
    </w:p>
    <w:p>
      <w:pPr>
        <w:autoSpaceDE w:val="0"/>
        <w:autoSpaceDN w:val="0"/>
        <w:adjustRightInd w:val="0"/>
        <w:snapToGrid w:val="0"/>
        <w:rPr>
          <w:rFonts w:cs="Arial"/>
          <w:b/>
          <w:bCs/>
          <w:sz w:val="18"/>
          <w:szCs w:val="18"/>
        </w:rPr>
      </w:pPr>
      <w:r>
        <w:rPr>
          <w:rFonts w:cs="Arial"/>
          <w:b/>
          <w:bCs/>
          <w:sz w:val="18"/>
          <w:szCs w:val="18"/>
        </w:rPr>
        <w:t>Market making:</w:t>
      </w:r>
    </w:p>
    <w:p>
      <w:pPr>
        <w:autoSpaceDE w:val="0"/>
        <w:autoSpaceDN w:val="0"/>
        <w:adjustRightInd w:val="0"/>
        <w:snapToGrid w:val="0"/>
        <w:rPr>
          <w:rFonts w:cs="Arial"/>
          <w:sz w:val="18"/>
          <w:szCs w:val="18"/>
        </w:rPr>
      </w:pPr>
      <w:r>
        <w:rPr>
          <w:rFonts w:cs="Arial"/>
          <w:sz w:val="18"/>
          <w:szCs w:val="18"/>
        </w:rPr>
        <w:t>The author(s) does not act as a market maker in the subject company’s securities.</w:t>
      </w:r>
    </w:p>
    <w:p>
      <w:pPr>
        <w:autoSpaceDE w:val="0"/>
        <w:autoSpaceDN w:val="0"/>
        <w:adjustRightInd w:val="0"/>
        <w:snapToGrid w:val="0"/>
        <w:rPr>
          <w:rFonts w:cs="Arial"/>
          <w:b/>
          <w:bCs/>
          <w:sz w:val="18"/>
          <w:szCs w:val="18"/>
        </w:rPr>
      </w:pPr>
      <w:r>
        <w:rPr>
          <w:rFonts w:cs="Arial"/>
          <w:b/>
          <w:bCs/>
          <w:sz w:val="18"/>
          <w:szCs w:val="18"/>
        </w:rPr>
        <w:t>Disclaimer:</w:t>
      </w:r>
    </w:p>
    <w:p>
      <w:pPr>
        <w:autoSpaceDE w:val="0"/>
        <w:autoSpaceDN w:val="0"/>
        <w:adjustRightInd w:val="0"/>
        <w:snapToGrid w:val="0"/>
        <w:rPr>
          <w:rFonts w:cs="Arial"/>
          <w:sz w:val="18"/>
          <w:szCs w:val="18"/>
        </w:rPr>
      </w:pPr>
      <w:r>
        <w:rPr>
          <w:rFonts w:cs="Arial"/>
          <w:sz w:val="18"/>
          <w:szCs w:val="18"/>
        </w:rPr>
        <w:t>The information set forth herein has been obtained or derived from sources generally available to the public and believed by the</w:t>
      </w:r>
    </w:p>
    <w:p>
      <w:pPr>
        <w:autoSpaceDE w:val="0"/>
        <w:autoSpaceDN w:val="0"/>
        <w:adjustRightInd w:val="0"/>
        <w:snapToGrid w:val="0"/>
        <w:rPr>
          <w:rFonts w:cs="Arial"/>
          <w:sz w:val="18"/>
          <w:szCs w:val="18"/>
        </w:rPr>
      </w:pPr>
      <w:r>
        <w:rPr>
          <w:rFonts w:cs="Arial"/>
          <w:sz w:val="18"/>
          <w:szCs w:val="18"/>
        </w:rPr>
        <w:t>author(s) to be reliable, but the author(s) does not make any representation or warranty, express or implied, as to its accuracy or</w:t>
      </w:r>
    </w:p>
    <w:p>
      <w:pPr>
        <w:autoSpaceDE w:val="0"/>
        <w:autoSpaceDN w:val="0"/>
        <w:adjustRightInd w:val="0"/>
        <w:snapToGrid w:val="0"/>
        <w:rPr>
          <w:rFonts w:cs="Arial"/>
          <w:sz w:val="18"/>
          <w:szCs w:val="18"/>
        </w:rPr>
      </w:pPr>
      <w:r>
        <w:rPr>
          <w:rFonts w:cs="Arial"/>
          <w:sz w:val="18"/>
          <w:szCs w:val="18"/>
        </w:rPr>
        <w:t>completeness. The information is not intended to be used as the basis of any investment decisions by any person or entity. This</w:t>
      </w:r>
    </w:p>
    <w:p>
      <w:pPr>
        <w:autoSpaceDE w:val="0"/>
        <w:autoSpaceDN w:val="0"/>
        <w:adjustRightInd w:val="0"/>
        <w:snapToGrid w:val="0"/>
        <w:rPr>
          <w:rFonts w:cs="Arial"/>
          <w:sz w:val="18"/>
          <w:szCs w:val="18"/>
        </w:rPr>
      </w:pPr>
      <w:r>
        <w:rPr>
          <w:rFonts w:cs="Arial"/>
          <w:sz w:val="18"/>
          <w:szCs w:val="18"/>
        </w:rPr>
        <w:t>information does not constitute investment advice, nor is it an offer or a solicitation of an offer to buy or sell any security. This report</w:t>
      </w:r>
    </w:p>
    <w:p>
      <w:pPr>
        <w:autoSpaceDE w:val="0"/>
        <w:autoSpaceDN w:val="0"/>
        <w:adjustRightInd w:val="0"/>
        <w:snapToGrid w:val="0"/>
        <w:rPr>
          <w:rFonts w:cs="Arial"/>
          <w:sz w:val="18"/>
          <w:szCs w:val="18"/>
        </w:rPr>
      </w:pPr>
      <w:r>
        <w:rPr>
          <w:rFonts w:cs="Arial"/>
          <w:sz w:val="18"/>
          <w:szCs w:val="18"/>
        </w:rPr>
        <w:t>should not be considered to be a recommendation by any individual affiliated with CFA Society of Poland, CFA Institute or the CFA</w:t>
      </w:r>
    </w:p>
    <w:p>
      <w:pPr>
        <w:adjustRightInd w:val="0"/>
        <w:snapToGrid w:val="0"/>
        <w:rPr>
          <w:rFonts w:ascii="Times New Roman" w:hAnsi="Times New Roman" w:cs="Times New Roman"/>
        </w:rPr>
      </w:pPr>
      <w:r>
        <w:rPr>
          <w:rFonts w:cs="Times New Roman"/>
          <w:sz w:val="20"/>
          <w:szCs w:val="20"/>
        </w:rPr>
        <mc:AlternateContent>
          <mc:Choice Requires="wps">
            <w:drawing>
              <wp:anchor distT="0" distB="0" distL="114300" distR="114300" simplePos="0" relativeHeight="251661312" behindDoc="0" locked="0" layoutInCell="1" allowOverlap="1">
                <wp:simplePos x="0" y="0"/>
                <wp:positionH relativeFrom="margin">
                  <wp:posOffset>133350</wp:posOffset>
                </wp:positionH>
                <wp:positionV relativeFrom="margin">
                  <wp:posOffset>3823970</wp:posOffset>
                </wp:positionV>
                <wp:extent cx="6016625" cy="2076450"/>
                <wp:effectExtent l="0" t="0" r="3175" b="0"/>
                <wp:wrapSquare wrapText="bothSides"/>
                <wp:docPr id="7" name="Text Box 7"/>
                <wp:cNvGraphicFramePr/>
                <a:graphic xmlns:a="http://schemas.openxmlformats.org/drawingml/2006/main">
                  <a:graphicData uri="http://schemas.microsoft.com/office/word/2010/wordprocessingShape">
                    <wps:wsp>
                      <wps:cNvSpPr txBox="1"/>
                      <wps:spPr>
                        <a:xfrm>
                          <a:off x="0" y="0"/>
                          <a:ext cx="6016625" cy="2076450"/>
                        </a:xfrm>
                        <a:prstGeom prst="rect">
                          <a:avLst/>
                        </a:prstGeom>
                        <a:solidFill>
                          <a:sysClr val="window" lastClr="FFFFFF"/>
                        </a:solidFill>
                        <a:ln w="6350">
                          <a:noFill/>
                        </a:ln>
                        <a:effectLst/>
                      </wps:spPr>
                      <wps:txbx>
                        <w:txbxContent>
                          <w:p>
                            <w:pPr>
                              <w:rPr>
                                <w:rFonts w:cs="Arial"/>
                                <w:b/>
                                <w:sz w:val="18"/>
                                <w:szCs w:val="18"/>
                              </w:rPr>
                            </w:pPr>
                            <w:r>
                              <w:rPr>
                                <w:rFonts w:cs="Arial"/>
                                <w:b/>
                                <w:sz w:val="28"/>
                                <w:szCs w:val="28"/>
                              </w:rPr>
                              <w:t>Disclosures:</w:t>
                            </w:r>
                            <w:r>
                              <w:rPr>
                                <w:rFonts w:cs="Arial"/>
                                <w:b/>
                                <w:sz w:val="18"/>
                                <w:szCs w:val="18"/>
                              </w:rPr>
                              <w:t>nflicts of interest:</w:t>
                            </w:r>
                          </w:p>
                          <w:p>
                            <w:pPr>
                              <w:rPr>
                                <w:b/>
                                <w:color w:val="777777"/>
                                <w:sz w:val="28"/>
                                <w:szCs w:val="28"/>
                              </w:rPr>
                            </w:pPr>
                            <w:r>
                              <w:rPr>
                                <w:rFonts w:cs="Arial"/>
                                <w:sz w:val="18"/>
                                <w:szCs w:val="18"/>
                              </w:rPr>
                              <w:t>The author(s), or a member of</w:t>
                            </w:r>
                            <w:r>
                              <w:drawing>
                                <wp:inline distT="0" distB="0" distL="0" distR="0">
                                  <wp:extent cx="3121660" cy="678180"/>
                                  <wp:effectExtent l="0" t="0" r="2540" b="7620"/>
                                  <wp:docPr id="9" name="Picture 1" descr="Description: 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F:\Brand Implementation Team March Update\CFA_institute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21660" cy="678180"/>
                                          </a:xfrm>
                                          <a:prstGeom prst="rect">
                                            <a:avLst/>
                                          </a:prstGeom>
                                          <a:noFill/>
                                          <a:ln>
                                            <a:noFill/>
                                          </a:ln>
                                        </pic:spPr>
                                      </pic:pic>
                                    </a:graphicData>
                                  </a:graphic>
                                </wp:inline>
                              </w:drawing>
                            </w:r>
                            <w:r>
                              <w:rPr>
                                <w:rFonts w:cs="Arial"/>
                                <w:sz w:val="18"/>
                                <w:szCs w:val="18"/>
                              </w:rPr>
                              <w:t xml:space="preserve"> their household, of this repor</w:t>
                            </w:r>
                            <w:r>
                              <w:rPr>
                                <w:rFonts w:hint="eastAsia" w:cs="Arial"/>
                                <w:sz w:val="18"/>
                                <w:szCs w:val="18"/>
                              </w:rPr>
                              <w:t xml:space="preserve">t </w:t>
                            </w:r>
                            <w:r>
                              <w:rPr>
                                <w:rFonts w:cs="Arial"/>
                                <w:sz w:val="18"/>
                                <w:szCs w:val="18"/>
                              </w:rPr>
                              <w:t>does not hold</w:t>
                            </w:r>
                            <w:r>
                              <w:rPr>
                                <w:rFonts w:hint="eastAsia" w:cs="Arial"/>
                                <w:sz w:val="18"/>
                                <w:szCs w:val="18"/>
                              </w:rPr>
                              <w:t xml:space="preserve"> </w:t>
                            </w:r>
                            <w:r>
                              <w:rPr>
                                <w:rFonts w:cs="Arial"/>
                                <w:sz w:val="18"/>
                                <w:szCs w:val="18"/>
                              </w:rPr>
                              <w:t>a financial interest in the securities of this company.of this report does not know of the existence of any conflicts of int</w:t>
                            </w:r>
                            <w:r>
                              <w:rPr>
                                <w:b/>
                                <w:color w:val="777777"/>
                                <w:sz w:val="28"/>
                                <w:szCs w:val="28"/>
                              </w:rPr>
                              <w:t xml:space="preserve"> CFA Institute Research Challenge</w:t>
                            </w:r>
                          </w:p>
                          <w:p>
                            <w:pPr>
                              <w:rPr>
                                <w:rFonts w:cs="Arial"/>
                                <w:b/>
                                <w:sz w:val="18"/>
                                <w:szCs w:val="18"/>
                              </w:rPr>
                            </w:pPr>
                          </w:p>
                          <w:p>
                            <w:pPr>
                              <w:rPr>
                                <w:rFonts w:cs="Arial"/>
                                <w:sz w:val="18"/>
                                <w:szCs w:val="18"/>
                              </w:rPr>
                            </w:pPr>
                            <w:r>
                              <w:rPr>
                                <w:rFonts w:cs="Arial"/>
                                <w:sz w:val="18"/>
                                <w:szCs w:val="18"/>
                              </w:rPr>
                              <w:t>The author(s), or a member of their household, does not serve as an officer, director or advisory board member of the subject company.</w:t>
                            </w:r>
                          </w:p>
                          <w:p>
                            <w:pPr>
                              <w:rPr>
                                <w:rFonts w:cs="Arial"/>
                                <w:sz w:val="18"/>
                                <w:szCs w:val="18"/>
                              </w:rPr>
                            </w:pPr>
                          </w:p>
                          <w:p>
                            <w:pPr>
                              <w:rPr>
                                <w:rFonts w:cs="Arial"/>
                                <w:sz w:val="18"/>
                                <w:szCs w:val="18"/>
                              </w:rPr>
                            </w:pPr>
                          </w:p>
                          <w:p>
                            <w:pPr>
                              <w:rPr>
                                <w:rFonts w:cs="Arial"/>
                                <w:sz w:val="18"/>
                                <w:szCs w:val="18"/>
                              </w:rPr>
                            </w:pPr>
                          </w:p>
                          <w:p>
                            <w:pPr>
                              <w:rPr>
                                <w:rFonts w:cs="Arial"/>
                                <w:sz w:val="18"/>
                                <w:szCs w:val="18"/>
                              </w:rPr>
                            </w:pPr>
                          </w:p>
                          <w:p>
                            <w:pPr>
                              <w:rPr>
                                <w:rFonts w:cs="Arial"/>
                                <w:sz w:val="18"/>
                                <w:szCs w:val="18"/>
                              </w:rPr>
                            </w:pPr>
                          </w:p>
                          <w:p>
                            <w:pPr>
                              <w:rPr>
                                <w:rFonts w:cs="Arial"/>
                                <w:b/>
                                <w:sz w:val="18"/>
                                <w:szCs w:val="18"/>
                              </w:rPr>
                            </w:pPr>
                            <w:r>
                              <w:rPr>
                                <w:rFonts w:cs="Arial"/>
                                <w:b/>
                                <w:sz w:val="18"/>
                                <w:szCs w:val="18"/>
                              </w:rPr>
                              <w:t>Market making:</w:t>
                            </w:r>
                          </w:p>
                          <w:p>
                            <w:pPr>
                              <w:rPr>
                                <w:rFonts w:cs="Arial"/>
                                <w:sz w:val="18"/>
                                <w:szCs w:val="18"/>
                              </w:rPr>
                            </w:pPr>
                            <w:r>
                              <w:rPr>
                                <w:rFonts w:cs="Arial"/>
                                <w:sz w:val="18"/>
                                <w:szCs w:val="18"/>
                              </w:rPr>
                              <w:t>The author(s) does not act as a market maker in the subject company’s securities.</w:t>
                            </w:r>
                          </w:p>
                          <w:p>
                            <w:pPr>
                              <w:rPr>
                                <w:rFonts w:cs="Arial"/>
                                <w:b/>
                                <w:sz w:val="18"/>
                                <w:szCs w:val="18"/>
                              </w:rPr>
                            </w:pPr>
                            <w:r>
                              <w:rPr>
                                <w:rFonts w:cs="Arial"/>
                                <w:b/>
                                <w:sz w:val="18"/>
                                <w:szCs w:val="18"/>
                              </w:rPr>
                              <w:t>Disclaimer:</w:t>
                            </w:r>
                          </w:p>
                          <w:p>
                            <w:pPr>
                              <w:rPr>
                                <w:rFonts w:cs="Arial"/>
                                <w:sz w:val="18"/>
                                <w:szCs w:val="18"/>
                              </w:rPr>
                            </w:pPr>
                            <w:r>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is not intended to be used as the basis of any investment decisions by any person or entity. This information does not constitute investment advice, nor is it an offer or a solicitation of an offer to buy or sell any security. This report should not be considered to be a recommendation by any individual affiliated with </w:t>
                            </w:r>
                            <w:r>
                              <w:rPr>
                                <w:rFonts w:hint="eastAsia" w:cs="Arial"/>
                                <w:sz w:val="18"/>
                                <w:szCs w:val="18"/>
                              </w:rPr>
                              <w:t>CFA Society of China</w:t>
                            </w:r>
                            <w:r>
                              <w:rPr>
                                <w:rFonts w:cs="Arial"/>
                                <w:sz w:val="18"/>
                                <w:szCs w:val="18"/>
                              </w:rPr>
                              <w:t>, CFA Institute or the CFA Institute Research Challenge with regard to this company’s stock.</w:t>
                            </w:r>
                          </w:p>
                          <w:p>
                            <w:pPr>
                              <w:rPr>
                                <w:rFonts w:cs="Arial"/>
                                <w:sz w:val="18"/>
                                <w:szCs w:val="18"/>
                              </w:rPr>
                            </w:pPr>
                          </w:p>
                          <w:p>
                            <w:pPr>
                              <w:rPr>
                                <w:rFonts w:cs="Arial"/>
                                <w:sz w:val="18"/>
                                <w:szCs w:val="18"/>
                              </w:rPr>
                            </w:pPr>
                          </w:p>
                          <w:p>
                            <w:pPr>
                              <w:pStyle w:val="2"/>
                              <w:jc w:val="center"/>
                            </w:pPr>
                          </w:p>
                          <w:p>
                            <w:pPr>
                              <w:pStyle w:val="2"/>
                              <w:jc w:val="center"/>
                              <w:rPr>
                                <w:b/>
                                <w:color w:val="777777"/>
                                <w:sz w:val="28"/>
                                <w:szCs w:val="28"/>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10.5pt;margin-top:301.1pt;height:163.5pt;width:473.75pt;mso-position-horizontal-relative:margin;mso-position-vertical-relative:margin;mso-wrap-distance-bottom:0pt;mso-wrap-distance-left:9pt;mso-wrap-distance-right:9pt;mso-wrap-distance-top:0pt;z-index:251661312;mso-width-relative:page;mso-height-relative:page;" fillcolor="#FFFFFF" filled="t" stroked="f" coordsize="21600,21600" o:gfxdata="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p2DLS1gAAAAoBAAAPAAAA&#10;AAAAAAEAIAAAACIAAABkcnMvZG93bnJldi54bWxQSwECFAAUAAAACACHTuJAYt6zAFACAACtBAAA&#10;DgAAAAAAAAABACAAAAAlAQAAZHJzL2Uyb0RvYy54bWxQSwUGAAAAAAYABgBZAQAA5wUAAAAA&#10;">
                <v:fill on="t" focussize="0,0"/>
                <v:stroke on="f" weight="0.5pt"/>
                <v:imagedata o:title=""/>
                <o:lock v:ext="edit" aspectratio="f"/>
                <v:textbox>
                  <w:txbxContent>
                    <w:p>
                      <w:pPr>
                        <w:rPr>
                          <w:rFonts w:cs="Arial"/>
                          <w:b/>
                          <w:sz w:val="18"/>
                          <w:szCs w:val="18"/>
                        </w:rPr>
                      </w:pPr>
                      <w:r>
                        <w:rPr>
                          <w:rFonts w:cs="Arial"/>
                          <w:b/>
                          <w:sz w:val="28"/>
                          <w:szCs w:val="28"/>
                        </w:rPr>
                        <w:t>Disclosures:</w:t>
                      </w:r>
                      <w:r>
                        <w:rPr>
                          <w:rFonts w:cs="Arial"/>
                          <w:b/>
                          <w:sz w:val="18"/>
                          <w:szCs w:val="18"/>
                        </w:rPr>
                        <w:t>nflicts of interest:</w:t>
                      </w:r>
                    </w:p>
                    <w:p>
                      <w:pPr>
                        <w:rPr>
                          <w:b/>
                          <w:color w:val="777777"/>
                          <w:sz w:val="28"/>
                          <w:szCs w:val="28"/>
                        </w:rPr>
                      </w:pPr>
                      <w:r>
                        <w:rPr>
                          <w:rFonts w:cs="Arial"/>
                          <w:sz w:val="18"/>
                          <w:szCs w:val="18"/>
                        </w:rPr>
                        <w:t>The author(s), or a member of</w:t>
                      </w:r>
                      <w:r>
                        <w:drawing>
                          <wp:inline distT="0" distB="0" distL="0" distR="0">
                            <wp:extent cx="3121660" cy="678180"/>
                            <wp:effectExtent l="0" t="0" r="2540" b="7620"/>
                            <wp:docPr id="9" name="Picture 1" descr="Description: F:\Brand Implementation Team March Update\CFA_institu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F:\Brand Implementation Team March Update\CFA_institute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21660" cy="678180"/>
                                    </a:xfrm>
                                    <a:prstGeom prst="rect">
                                      <a:avLst/>
                                    </a:prstGeom>
                                    <a:noFill/>
                                    <a:ln>
                                      <a:noFill/>
                                    </a:ln>
                                  </pic:spPr>
                                </pic:pic>
                              </a:graphicData>
                            </a:graphic>
                          </wp:inline>
                        </w:drawing>
                      </w:r>
                      <w:r>
                        <w:rPr>
                          <w:rFonts w:cs="Arial"/>
                          <w:sz w:val="18"/>
                          <w:szCs w:val="18"/>
                        </w:rPr>
                        <w:t xml:space="preserve"> their household, of this repor</w:t>
                      </w:r>
                      <w:r>
                        <w:rPr>
                          <w:rFonts w:hint="eastAsia" w:cs="Arial"/>
                          <w:sz w:val="18"/>
                          <w:szCs w:val="18"/>
                        </w:rPr>
                        <w:t xml:space="preserve">t </w:t>
                      </w:r>
                      <w:r>
                        <w:rPr>
                          <w:rFonts w:cs="Arial"/>
                          <w:sz w:val="18"/>
                          <w:szCs w:val="18"/>
                        </w:rPr>
                        <w:t>does not hold</w:t>
                      </w:r>
                      <w:r>
                        <w:rPr>
                          <w:rFonts w:hint="eastAsia" w:cs="Arial"/>
                          <w:sz w:val="18"/>
                          <w:szCs w:val="18"/>
                        </w:rPr>
                        <w:t xml:space="preserve"> </w:t>
                      </w:r>
                      <w:r>
                        <w:rPr>
                          <w:rFonts w:cs="Arial"/>
                          <w:sz w:val="18"/>
                          <w:szCs w:val="18"/>
                        </w:rPr>
                        <w:t>a financial interest in the securities of this company.of this report does not know of the existence of any conflicts of int</w:t>
                      </w:r>
                      <w:r>
                        <w:rPr>
                          <w:b/>
                          <w:color w:val="777777"/>
                          <w:sz w:val="28"/>
                          <w:szCs w:val="28"/>
                        </w:rPr>
                        <w:t xml:space="preserve"> CFA Institute Research Challenge</w:t>
                      </w:r>
                    </w:p>
                    <w:p>
                      <w:pPr>
                        <w:rPr>
                          <w:rFonts w:cs="Arial"/>
                          <w:b/>
                          <w:sz w:val="18"/>
                          <w:szCs w:val="18"/>
                        </w:rPr>
                      </w:pPr>
                    </w:p>
                    <w:p>
                      <w:pPr>
                        <w:rPr>
                          <w:rFonts w:cs="Arial"/>
                          <w:sz w:val="18"/>
                          <w:szCs w:val="18"/>
                        </w:rPr>
                      </w:pPr>
                      <w:r>
                        <w:rPr>
                          <w:rFonts w:cs="Arial"/>
                          <w:sz w:val="18"/>
                          <w:szCs w:val="18"/>
                        </w:rPr>
                        <w:t>The author(s), or a member of their household, does not serve as an officer, director or advisory board member of the subject company.</w:t>
                      </w:r>
                    </w:p>
                    <w:p>
                      <w:pPr>
                        <w:rPr>
                          <w:rFonts w:cs="Arial"/>
                          <w:sz w:val="18"/>
                          <w:szCs w:val="18"/>
                        </w:rPr>
                      </w:pPr>
                    </w:p>
                    <w:p>
                      <w:pPr>
                        <w:rPr>
                          <w:rFonts w:cs="Arial"/>
                          <w:sz w:val="18"/>
                          <w:szCs w:val="18"/>
                        </w:rPr>
                      </w:pPr>
                    </w:p>
                    <w:p>
                      <w:pPr>
                        <w:rPr>
                          <w:rFonts w:cs="Arial"/>
                          <w:sz w:val="18"/>
                          <w:szCs w:val="18"/>
                        </w:rPr>
                      </w:pPr>
                    </w:p>
                    <w:p>
                      <w:pPr>
                        <w:rPr>
                          <w:rFonts w:cs="Arial"/>
                          <w:sz w:val="18"/>
                          <w:szCs w:val="18"/>
                        </w:rPr>
                      </w:pPr>
                    </w:p>
                    <w:p>
                      <w:pPr>
                        <w:rPr>
                          <w:rFonts w:cs="Arial"/>
                          <w:sz w:val="18"/>
                          <w:szCs w:val="18"/>
                        </w:rPr>
                      </w:pPr>
                    </w:p>
                    <w:p>
                      <w:pPr>
                        <w:rPr>
                          <w:rFonts w:cs="Arial"/>
                          <w:b/>
                          <w:sz w:val="18"/>
                          <w:szCs w:val="18"/>
                        </w:rPr>
                      </w:pPr>
                      <w:r>
                        <w:rPr>
                          <w:rFonts w:cs="Arial"/>
                          <w:b/>
                          <w:sz w:val="18"/>
                          <w:szCs w:val="18"/>
                        </w:rPr>
                        <w:t>Market making:</w:t>
                      </w:r>
                    </w:p>
                    <w:p>
                      <w:pPr>
                        <w:rPr>
                          <w:rFonts w:cs="Arial"/>
                          <w:sz w:val="18"/>
                          <w:szCs w:val="18"/>
                        </w:rPr>
                      </w:pPr>
                      <w:r>
                        <w:rPr>
                          <w:rFonts w:cs="Arial"/>
                          <w:sz w:val="18"/>
                          <w:szCs w:val="18"/>
                        </w:rPr>
                        <w:t>The author(s) does not act as a market maker in the subject company’s securities.</w:t>
                      </w:r>
                    </w:p>
                    <w:p>
                      <w:pPr>
                        <w:rPr>
                          <w:rFonts w:cs="Arial"/>
                          <w:b/>
                          <w:sz w:val="18"/>
                          <w:szCs w:val="18"/>
                        </w:rPr>
                      </w:pPr>
                      <w:r>
                        <w:rPr>
                          <w:rFonts w:cs="Arial"/>
                          <w:b/>
                          <w:sz w:val="18"/>
                          <w:szCs w:val="18"/>
                        </w:rPr>
                        <w:t>Disclaimer:</w:t>
                      </w:r>
                    </w:p>
                    <w:p>
                      <w:pPr>
                        <w:rPr>
                          <w:rFonts w:cs="Arial"/>
                          <w:sz w:val="18"/>
                          <w:szCs w:val="18"/>
                        </w:rPr>
                      </w:pPr>
                      <w:r>
                        <w:rPr>
                          <w:rFonts w:cs="Arial"/>
                          <w:sz w:val="18"/>
                          <w:szCs w:val="18"/>
                        </w:rPr>
                        <w:t xml:space="preserve">The information set forth herein has been obtained or derived from sources generally available to the public and believed by the author(s) to be reliable, but the author(s) does not make any representation or warranty, express or implied, as to its accuracy or completeness. The information is not intended to be used as the basis of any investment decisions by any person or entity. This information does not constitute investment advice, nor is it an offer or a solicitation of an offer to buy or sell any security. This report should not be considered to be a recommendation by any individual affiliated with </w:t>
                      </w:r>
                      <w:r>
                        <w:rPr>
                          <w:rFonts w:hint="eastAsia" w:cs="Arial"/>
                          <w:sz w:val="18"/>
                          <w:szCs w:val="18"/>
                        </w:rPr>
                        <w:t>CFA Society of China</w:t>
                      </w:r>
                      <w:r>
                        <w:rPr>
                          <w:rFonts w:cs="Arial"/>
                          <w:sz w:val="18"/>
                          <w:szCs w:val="18"/>
                        </w:rPr>
                        <w:t>, CFA Institute or the CFA Institute Research Challenge with regard to this company’s stock.</w:t>
                      </w:r>
                    </w:p>
                    <w:p>
                      <w:pPr>
                        <w:rPr>
                          <w:rFonts w:cs="Arial"/>
                          <w:sz w:val="18"/>
                          <w:szCs w:val="18"/>
                        </w:rPr>
                      </w:pPr>
                    </w:p>
                    <w:p>
                      <w:pPr>
                        <w:rPr>
                          <w:rFonts w:cs="Arial"/>
                          <w:sz w:val="18"/>
                          <w:szCs w:val="18"/>
                        </w:rPr>
                      </w:pPr>
                    </w:p>
                    <w:p>
                      <w:pPr>
                        <w:pStyle w:val="2"/>
                        <w:jc w:val="center"/>
                      </w:pPr>
                    </w:p>
                    <w:p>
                      <w:pPr>
                        <w:pStyle w:val="2"/>
                        <w:jc w:val="center"/>
                        <w:rPr>
                          <w:b/>
                          <w:color w:val="777777"/>
                          <w:sz w:val="28"/>
                          <w:szCs w:val="28"/>
                        </w:rPr>
                      </w:pPr>
                    </w:p>
                    <w:p/>
                  </w:txbxContent>
                </v:textbox>
                <w10:wrap type="square"/>
              </v:shape>
            </w:pict>
          </mc:Fallback>
        </mc:AlternateContent>
      </w:r>
      <w:r>
        <w:rPr>
          <w:rFonts w:cs="Arial"/>
          <w:sz w:val="18"/>
          <w:szCs w:val="18"/>
        </w:rPr>
        <w:t>Institute Research Challenge with regard to this company’s stock.</w:t>
      </w:r>
    </w:p>
    <w:p/>
    <w:sectPr>
      <w:pgSz w:w="11906" w:h="16838"/>
      <w:pgMar w:top="1418" w:right="851" w:bottom="1191" w:left="90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2FkZWRjYWNiOTJlNTI1ZDk0YzIyYjhkNGM0OTAifQ=="/>
  </w:docVars>
  <w:rsids>
    <w:rsidRoot w:val="00000000"/>
    <w:rsid w:val="1EF4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57470</dc:creator>
  <cp:lastModifiedBy>57470</cp:lastModifiedBy>
  <dcterms:modified xsi:type="dcterms:W3CDTF">2023-08-17T09:22:48Z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AA067C5F209D4C31AFABFA8A4B10BE3D_12</vt:lpwstr>
  </property>
</Properties>
</file>